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textAlignment w:val="top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附件二：</w:t>
      </w:r>
      <w:bookmarkStart w:id="0" w:name="_GoBack"/>
      <w:r>
        <w:rPr>
          <w:rFonts w:hint="eastAsia" w:ascii="仿宋" w:hAnsi="仿宋" w:eastAsia="仿宋" w:cs="仿宋"/>
          <w:b/>
          <w:kern w:val="0"/>
          <w:sz w:val="24"/>
          <w:szCs w:val="24"/>
        </w:rPr>
        <w:t>报名流程示意图</w:t>
      </w:r>
    </w:p>
    <w:bookmarkEnd w:id="0"/>
    <w:p>
      <w:r>
        <w:rPr>
          <w:rFonts w:hint="eastAsia" w:ascii="仿宋" w:hAnsi="仿宋" w:eastAsia="仿宋" w:cs="仿宋"/>
          <w:b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285115</wp:posOffset>
            </wp:positionV>
            <wp:extent cx="2918460" cy="7289800"/>
            <wp:effectExtent l="0" t="0" r="15240" b="6350"/>
            <wp:wrapSquare wrapText="bothSides"/>
            <wp:docPr id="6" name="图片 6" descr="学生端操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生端操作流程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30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weishukai</dc:creator>
  <cp:lastModifiedBy>heimi</cp:lastModifiedBy>
  <dcterms:modified xsi:type="dcterms:W3CDTF">2020-06-18T08:05:35Z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